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16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46"/>
      </w:tblGrid>
      <w:tr w:rsidR="0066625F" w14:paraId="4D6BE454" w14:textId="77777777" w:rsidTr="002B26F6">
        <w:tc>
          <w:tcPr>
            <w:tcW w:w="8996" w:type="dxa"/>
          </w:tcPr>
          <w:p w14:paraId="62681148" w14:textId="42307913" w:rsidR="0066625F" w:rsidRPr="00827212" w:rsidRDefault="00AD2AE5" w:rsidP="008272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Common multiples</w:t>
            </w:r>
          </w:p>
        </w:tc>
      </w:tr>
      <w:tr w:rsidR="0066625F" w14:paraId="44FF9FE1" w14:textId="77777777" w:rsidTr="002B26F6">
        <w:tc>
          <w:tcPr>
            <w:tcW w:w="8996" w:type="dxa"/>
          </w:tcPr>
          <w:p w14:paraId="76AE411B" w14:textId="77777777" w:rsidR="00D6549D" w:rsidRDefault="00D6549D" w:rsidP="00D6549D">
            <w:pPr>
              <w:rPr>
                <w:b/>
                <w:bCs/>
                <w:u w:val="single"/>
              </w:rPr>
            </w:pPr>
          </w:p>
          <w:p w14:paraId="3CA86690" w14:textId="24B7523D" w:rsidR="00EE0BD2" w:rsidRPr="00AD2AE5" w:rsidRDefault="00AD2AE5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Activity:</w:t>
            </w:r>
          </w:p>
          <w:p w14:paraId="0BD92079" w14:textId="77777777" w:rsidR="00AD2AE5" w:rsidRDefault="00AD2AE5"/>
          <w:p w14:paraId="3921EA3A" w14:textId="265D5783" w:rsidR="00AD2AE5" w:rsidRDefault="00AD2AE5">
            <w:r>
              <w:t>The task is to shade all the common multiples of two randomly chosen numbers (from 2 to 9).</w:t>
            </w:r>
          </w:p>
          <w:p w14:paraId="044526C6" w14:textId="60EEC8B6" w:rsidR="00AD2AE5" w:rsidRDefault="00AD2AE5" w:rsidP="00AD2AE5">
            <w:pPr>
              <w:jc w:val="center"/>
            </w:pPr>
            <w:r w:rsidRPr="00AD2AE5">
              <w:drawing>
                <wp:inline distT="0" distB="0" distL="0" distR="0" wp14:anchorId="4396D944" wp14:editId="0D19D5CE">
                  <wp:extent cx="5731510" cy="2766060"/>
                  <wp:effectExtent l="0" t="0" r="254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276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F0B514" w14:textId="77777777" w:rsidR="00AD2AE5" w:rsidRDefault="00AD2AE5"/>
          <w:p w14:paraId="2C41B038" w14:textId="5CC3BDD9" w:rsidR="00AD2AE5" w:rsidRDefault="004B050C">
            <w:r>
              <w:t>One option is to get students to call out the numbers in multiplication table 2 (in the above case), whilst you shade in the numbers as they are called out.</w:t>
            </w:r>
          </w:p>
          <w:p w14:paraId="7BE7A300" w14:textId="77777777" w:rsidR="004B050C" w:rsidRDefault="004B050C"/>
          <w:p w14:paraId="44FAD774" w14:textId="77777777" w:rsidR="004B050C" w:rsidRDefault="004B050C">
            <w:r>
              <w:t xml:space="preserve">Another option is to use the “Shade multiplies of” option below the colour buttons at the bottom of the screen: </w:t>
            </w:r>
          </w:p>
          <w:p w14:paraId="4576BE0D" w14:textId="3C8B3EF3" w:rsidR="004B050C" w:rsidRDefault="004B050C" w:rsidP="004B050C">
            <w:pPr>
              <w:jc w:val="center"/>
            </w:pPr>
            <w:r w:rsidRPr="004B050C">
              <w:drawing>
                <wp:inline distT="0" distB="0" distL="0" distR="0" wp14:anchorId="1E6270D6" wp14:editId="27FD17A0">
                  <wp:extent cx="1895475" cy="51818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764" cy="52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BCBE34" w14:textId="09BAE3D9" w:rsidR="00AD2AE5" w:rsidRDefault="004B050C">
            <w:r>
              <w:t>By clicking on the arrows, you can have the multiples of 2 shaded in the hundred square automatically. You could, also, see the multiples of 3 by this method.</w:t>
            </w:r>
          </w:p>
          <w:p w14:paraId="29323201" w14:textId="77777777" w:rsidR="004B050C" w:rsidRDefault="004B050C"/>
          <w:p w14:paraId="10E78CAA" w14:textId="56E3D031" w:rsidR="004B050C" w:rsidRDefault="004B050C">
            <w:r>
              <w:t>Ask about the pattern created by this multiplication table. Likewise for the other multiplication table</w:t>
            </w:r>
            <w:r w:rsidR="00C33F62">
              <w:t xml:space="preserve"> if you are showing that. It is good to spend time with just one multiplication table before considering both the tables at once.</w:t>
            </w:r>
          </w:p>
          <w:p w14:paraId="0B0158D0" w14:textId="77777777" w:rsidR="00C33F62" w:rsidRDefault="00C33F62"/>
          <w:p w14:paraId="47F8E27A" w14:textId="3271711C" w:rsidR="00C33F62" w:rsidRDefault="00C33F62">
            <w:r>
              <w:t>Assuming multiplication table 2, in the above case, is highlighted, then students could call out multiplication table 3 with you shading the numbers with a different colour as they are called. When you are about to colour a number which is already coloured (i.e. it will be a common multiple of 2 and 3), then colour it with a third colour, so that the multiples stand out with this third colour.</w:t>
            </w:r>
          </w:p>
          <w:p w14:paraId="1ED0C471" w14:textId="77777777" w:rsidR="00C33F62" w:rsidRDefault="00C33F62"/>
          <w:p w14:paraId="6C12ADBE" w14:textId="64AEFB81" w:rsidR="00C33F62" w:rsidRDefault="00C33F62" w:rsidP="00C33F62">
            <w:pPr>
              <w:jc w:val="center"/>
            </w:pPr>
            <w:r w:rsidRPr="00C33F62">
              <w:lastRenderedPageBreak/>
              <w:drawing>
                <wp:inline distT="0" distB="0" distL="0" distR="0" wp14:anchorId="27F376E1" wp14:editId="4224689C">
                  <wp:extent cx="5731510" cy="2432685"/>
                  <wp:effectExtent l="0" t="0" r="2540" b="571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2432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A7F43F" w14:textId="77777777" w:rsidR="00C33F62" w:rsidRDefault="00C33F62" w:rsidP="00C33F62"/>
          <w:p w14:paraId="7D09B535" w14:textId="3E9CDAB3" w:rsidR="00C33F62" w:rsidRDefault="00C33F62" w:rsidP="00C33F62">
            <w:r>
              <w:t xml:space="preserve">What do the students notice about the numbers coloured yellow (i.e. </w:t>
            </w:r>
            <w:r w:rsidR="009D1CEB">
              <w:t xml:space="preserve">they </w:t>
            </w:r>
            <w:r>
              <w:t>were coloured for both multiplication tables)?</w:t>
            </w:r>
            <w:r w:rsidR="009D1CEB">
              <w:t xml:space="preserve"> What has this to do with the original two multiplication tables?</w:t>
            </w:r>
          </w:p>
          <w:p w14:paraId="26365622" w14:textId="77777777" w:rsidR="00AD2AE5" w:rsidRDefault="00AD2AE5"/>
          <w:p w14:paraId="21C7A653" w14:textId="6C5ECF4F" w:rsidR="00EE0BD2" w:rsidRDefault="00EE0BD2">
            <w:r>
              <w:t xml:space="preserve">Pressing the </w:t>
            </w:r>
            <w:r w:rsidRPr="00EE0BD2">
              <w:rPr>
                <w:noProof/>
                <w:kern w:val="16"/>
                <w:position w:val="-12"/>
              </w:rPr>
              <w:drawing>
                <wp:inline distT="0" distB="0" distL="0" distR="0" wp14:anchorId="20F300FA" wp14:editId="347535FD">
                  <wp:extent cx="223200" cy="223200"/>
                  <wp:effectExtent l="0" t="0" r="5715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button will restart the activity with two new, randomly chosen,</w:t>
            </w:r>
            <w:r w:rsidR="009D1CEB">
              <w:t xml:space="preserve"> multiplication tables</w:t>
            </w:r>
            <w:r>
              <w:t>.</w:t>
            </w:r>
          </w:p>
          <w:p w14:paraId="3F2336F1" w14:textId="77777777" w:rsidR="0066625F" w:rsidRDefault="0066625F" w:rsidP="009D1CEB"/>
        </w:tc>
      </w:tr>
      <w:tr w:rsidR="0066625F" w14:paraId="6BE99514" w14:textId="77777777" w:rsidTr="002B26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32680" w14:textId="77777777" w:rsidR="00D6549D" w:rsidRDefault="00D6549D">
            <w:pPr>
              <w:rPr>
                <w:b/>
                <w:bCs/>
                <w:u w:val="single"/>
              </w:rPr>
            </w:pPr>
          </w:p>
          <w:p w14:paraId="074436C9" w14:textId="6E780A61" w:rsidR="002B26F6" w:rsidRPr="002B26F6" w:rsidRDefault="002B26F6">
            <w:pPr>
              <w:rPr>
                <w:b/>
                <w:bCs/>
                <w:u w:val="single"/>
              </w:rPr>
            </w:pPr>
            <w:r w:rsidRPr="002B26F6">
              <w:rPr>
                <w:b/>
                <w:bCs/>
                <w:u w:val="single"/>
              </w:rPr>
              <w:t>Teaching considerations:</w:t>
            </w:r>
          </w:p>
          <w:p w14:paraId="2DD97A3C" w14:textId="77777777" w:rsidR="002B26F6" w:rsidRDefault="002B26F6"/>
          <w:p w14:paraId="524D3653" w14:textId="76377732" w:rsidR="009D1CEB" w:rsidRDefault="009D1CEB" w:rsidP="009D1CEB">
            <w:r>
              <w:t>It may be best to start off with two numbers which do not have a common factor</w:t>
            </w:r>
            <w:r>
              <w:t xml:space="preserve">, such as 2 and 3. You can keep pressing the </w:t>
            </w:r>
            <w:r w:rsidRPr="00EE0BD2">
              <w:rPr>
                <w:noProof/>
                <w:kern w:val="16"/>
                <w:position w:val="-12"/>
              </w:rPr>
              <w:drawing>
                <wp:inline distT="0" distB="0" distL="0" distR="0" wp14:anchorId="20872089" wp14:editId="7AF7FE75">
                  <wp:extent cx="223200" cy="223200"/>
                  <wp:effectExtent l="0" t="0" r="5715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button</w:t>
            </w:r>
            <w:r>
              <w:t xml:space="preserve"> until you get two numbers that you want.</w:t>
            </w:r>
          </w:p>
          <w:p w14:paraId="08DEE5F4" w14:textId="77777777" w:rsidR="009D1CEB" w:rsidRDefault="009D1CEB" w:rsidP="009D1CEB"/>
          <w:p w14:paraId="2B58C622" w14:textId="0D26C2B4" w:rsidR="009D1CEB" w:rsidRDefault="009D1CEB" w:rsidP="009D1CEB">
            <w:r>
              <w:t>After students have found a rule for the common multiples of such numbers, you might bring in a case where the numbers do have a common factor, such as 4 and 6, for them to see that this situation is a little different.</w:t>
            </w:r>
          </w:p>
          <w:p w14:paraId="686388DF" w14:textId="77777777" w:rsidR="009D1CEB" w:rsidRDefault="009D1CEB" w:rsidP="009D1CEB"/>
          <w:p w14:paraId="47480353" w14:textId="35A8C25C" w:rsidR="009D1CEB" w:rsidRDefault="009D1CEB" w:rsidP="009D1CEB">
            <w:r>
              <w:t>There is potential for work on properties of particular multiplication tables (such as every other number is even when the multiplication table is odd, or which final digits a number in a particular multiplication table</w:t>
            </w:r>
            <w:r w:rsidR="00AF0EBB">
              <w:t xml:space="preserve"> can or cannot have).</w:t>
            </w:r>
          </w:p>
          <w:p w14:paraId="5E404A0E" w14:textId="77777777" w:rsidR="00AF0EBB" w:rsidRDefault="00AF0EBB" w:rsidP="009D1CEB"/>
          <w:p w14:paraId="40779A0C" w14:textId="77777777" w:rsidR="00AF0EBB" w:rsidRDefault="00AF0EBB" w:rsidP="00AF0EBB">
            <w:r>
              <w:t xml:space="preserve">Use the question </w:t>
            </w:r>
            <w:r>
              <w:rPr>
                <w:i/>
                <w:iCs/>
              </w:rPr>
              <w:t>why?</w:t>
            </w:r>
            <w:r>
              <w:t xml:space="preserve"> to see whether they can explain why any noticed rules seem to work.</w:t>
            </w:r>
          </w:p>
          <w:p w14:paraId="6C8DAF3B" w14:textId="77777777" w:rsidR="00AF0EBB" w:rsidRDefault="00AF0EBB" w:rsidP="00AF0EBB"/>
          <w:p w14:paraId="56BAAB5F" w14:textId="548CB853" w:rsidR="009D1CEB" w:rsidRDefault="00AF0EBB">
            <w:r>
              <w:t xml:space="preserve">Consider introducing words such as </w:t>
            </w:r>
            <w:r>
              <w:rPr>
                <w:i/>
                <w:iCs/>
              </w:rPr>
              <w:t>factors</w:t>
            </w:r>
            <w:r>
              <w:t xml:space="preserve">, </w:t>
            </w:r>
            <w:r>
              <w:rPr>
                <w:i/>
                <w:iCs/>
              </w:rPr>
              <w:t>multiples</w:t>
            </w:r>
            <w:r>
              <w:t xml:space="preserve">, </w:t>
            </w:r>
            <w:r>
              <w:rPr>
                <w:i/>
                <w:iCs/>
              </w:rPr>
              <w:t>common multiples</w:t>
            </w:r>
            <w:r>
              <w:t xml:space="preserve">, </w:t>
            </w:r>
            <w:r>
              <w:rPr>
                <w:i/>
                <w:iCs/>
              </w:rPr>
              <w:t>common factors, lowest common multiple</w:t>
            </w:r>
            <w:r>
              <w:t xml:space="preserve">, </w:t>
            </w:r>
            <w:r>
              <w:rPr>
                <w:i/>
                <w:iCs/>
              </w:rPr>
              <w:t>highest common factor</w:t>
            </w:r>
            <w:r>
              <w:t>.</w:t>
            </w:r>
          </w:p>
          <w:p w14:paraId="42985E6E" w14:textId="77777777" w:rsidR="00AF0EBB" w:rsidRDefault="00AF0EBB"/>
          <w:p w14:paraId="70736D31" w14:textId="417D059C" w:rsidR="008A16FB" w:rsidRDefault="00AF0EBB">
            <w:r>
              <w:t xml:space="preserve">In algebraic terms, the common multiples of </w:t>
            </w:r>
            <w:r>
              <w:rPr>
                <w:i/>
                <w:iCs/>
              </w:rPr>
              <w:t>a</w:t>
            </w:r>
            <w:r>
              <w:t xml:space="preserve"> and </w:t>
            </w:r>
            <w:r>
              <w:rPr>
                <w:i/>
                <w:iCs/>
              </w:rPr>
              <w:t>b</w:t>
            </w:r>
            <w:r>
              <w:t xml:space="preserve"> are in the following multiplication table:</w:t>
            </w:r>
            <w:r w:rsidR="001C1325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a×b</m:t>
                  </m:r>
                </m:num>
                <m:den>
                  <m:r>
                    <w:rPr>
                      <w:rFonts w:ascii="Cambria Math" w:hAnsi="Cambria Math"/>
                    </w:rPr>
                    <m:t>f</m:t>
                  </m:r>
                </m:den>
              </m:f>
            </m:oMath>
            <w:r w:rsidR="001C1325">
              <w:rPr>
                <w:rFonts w:eastAsiaTheme="minorEastAsia"/>
              </w:rPr>
              <w:t xml:space="preserve"> where </w:t>
            </w:r>
            <w:r w:rsidR="001C1325">
              <w:rPr>
                <w:rFonts w:eastAsiaTheme="minorEastAsia"/>
                <w:i/>
                <w:iCs/>
              </w:rPr>
              <w:t>f</w:t>
            </w:r>
            <w:r w:rsidR="001C1325">
              <w:rPr>
                <w:rFonts w:eastAsiaTheme="minorEastAsia"/>
              </w:rPr>
              <w:t xml:space="preserve"> is the highest common factor.</w:t>
            </w:r>
          </w:p>
          <w:p w14:paraId="1DA55CE6" w14:textId="26CA64D9" w:rsidR="008A16FB" w:rsidRPr="008A16FB" w:rsidRDefault="008A16FB" w:rsidP="00AF0EBB"/>
        </w:tc>
      </w:tr>
    </w:tbl>
    <w:p w14:paraId="274526DB" w14:textId="0E87209A" w:rsidR="0066625F" w:rsidRDefault="0066625F"/>
    <w:sectPr w:rsidR="00666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5F"/>
    <w:rsid w:val="001C1325"/>
    <w:rsid w:val="002B26F6"/>
    <w:rsid w:val="00300E3C"/>
    <w:rsid w:val="004B050C"/>
    <w:rsid w:val="004D1D4D"/>
    <w:rsid w:val="0066625F"/>
    <w:rsid w:val="00827212"/>
    <w:rsid w:val="008346F4"/>
    <w:rsid w:val="008A16FB"/>
    <w:rsid w:val="009D1CEB"/>
    <w:rsid w:val="00AD2AE5"/>
    <w:rsid w:val="00AF0EBB"/>
    <w:rsid w:val="00C33F62"/>
    <w:rsid w:val="00D52376"/>
    <w:rsid w:val="00D6549D"/>
    <w:rsid w:val="00D94624"/>
    <w:rsid w:val="00EE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71CE6"/>
  <w15:chartTrackingRefBased/>
  <w15:docId w15:val="{63698F7E-8C85-47DA-862A-E18315C5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2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2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2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2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2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2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2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6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A16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Hewitt</dc:creator>
  <cp:keywords/>
  <dc:description/>
  <cp:lastModifiedBy>Dave Hewitt</cp:lastModifiedBy>
  <cp:revision>5</cp:revision>
  <dcterms:created xsi:type="dcterms:W3CDTF">2026-09-30T09:40:00Z</dcterms:created>
  <dcterms:modified xsi:type="dcterms:W3CDTF">2026-09-30T10:50:00Z</dcterms:modified>
</cp:coreProperties>
</file>